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22FC">
      <w:pPr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0DDE1D1">
      <w:pPr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4C10D0AD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77251BF9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61312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+oxxNUAAAAIAQAADwAAAAAAAAABACAAAAAiAAAAZHJzL2Rvd25yZXYueG1sUEsB&#10;AhQAFAAAAAgAh07iQJcm37/4AQAAxQMAAA4AAAAAAAAAAQAgAAAAJAEAAGRycy9lMm9Eb2MueG1s&#10;UEsFBgAAAAAGAAYAWQEAAI4FAAAAAA==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3B2649EE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接受非货币性资产捐赠管理办法</w:t>
      </w:r>
    </w:p>
    <w:p w14:paraId="223795C7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76EDF373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</w:p>
    <w:p w14:paraId="40C82DFF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</w:t>
      </w:r>
      <w:r>
        <w:rPr>
          <w:rFonts w:ascii="仿宋" w:hAnsi="仿宋" w:eastAsia="仿宋"/>
          <w:sz w:val="32"/>
          <w:szCs w:val="32"/>
        </w:rPr>
        <w:t xml:space="preserve">  总则</w:t>
      </w:r>
    </w:p>
    <w:p w14:paraId="34B8C220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</w:t>
      </w:r>
      <w:r>
        <w:rPr>
          <w:rFonts w:ascii="仿宋" w:hAnsi="仿宋" w:eastAsia="仿宋"/>
          <w:sz w:val="32"/>
          <w:szCs w:val="32"/>
        </w:rPr>
        <w:t xml:space="preserve">  为了加强基金会（以下简称基金会）接受捐赠非货币性资产的管理，根据《中华人民共和国公益事业捐赠法》、《民间非营利组织会计制度》、《基金会管理条例》等国家有关法律法规，并结合基金会有关规定和实际，制定本办法。</w:t>
      </w:r>
    </w:p>
    <w:p w14:paraId="1F554FD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</w:t>
      </w:r>
      <w:r>
        <w:rPr>
          <w:rFonts w:ascii="仿宋" w:hAnsi="仿宋" w:eastAsia="仿宋"/>
          <w:sz w:val="32"/>
          <w:szCs w:val="32"/>
        </w:rPr>
        <w:t xml:space="preserve">  基金会接受捐赠的非货币性资产管理坚持遵守基金会章程，对受赠非货币性资产实行项目管理，建立公开、透明的分配和使用机制，尊重捐赠人意愿，定期向社会公布有关信息，维护基金会信誉。</w:t>
      </w:r>
    </w:p>
    <w:p w14:paraId="39D010F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</w:t>
      </w:r>
      <w:r>
        <w:rPr>
          <w:rFonts w:ascii="仿宋" w:hAnsi="仿宋" w:eastAsia="仿宋"/>
          <w:sz w:val="32"/>
          <w:szCs w:val="32"/>
        </w:rPr>
        <w:t xml:space="preserve">  非货币性资产是指货币性资产以外的资产，包括物资、艺术品、历史文物、出版物、房屋建筑物、土地使用权、短（长）期投资资产、著作权、商标权、广告版面、广告时段等。</w:t>
      </w:r>
    </w:p>
    <w:p w14:paraId="136D3375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</w:t>
      </w:r>
      <w:r>
        <w:rPr>
          <w:rFonts w:ascii="仿宋" w:hAnsi="仿宋" w:eastAsia="仿宋"/>
          <w:sz w:val="32"/>
          <w:szCs w:val="32"/>
        </w:rPr>
        <w:t xml:space="preserve">  募集管理</w:t>
      </w:r>
    </w:p>
    <w:p w14:paraId="3AC9B65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</w:t>
      </w:r>
      <w:r>
        <w:rPr>
          <w:rFonts w:ascii="仿宋" w:hAnsi="仿宋" w:eastAsia="仿宋"/>
          <w:sz w:val="32"/>
          <w:szCs w:val="32"/>
        </w:rPr>
        <w:t xml:space="preserve"> 基金会接受捐赠的非货币性资产严格按照公益方式进行管理。</w:t>
      </w:r>
    </w:p>
    <w:p w14:paraId="468D4C2C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</w:t>
      </w:r>
      <w:r>
        <w:rPr>
          <w:rFonts w:ascii="仿宋" w:hAnsi="仿宋" w:eastAsia="仿宋"/>
          <w:sz w:val="32"/>
          <w:szCs w:val="32"/>
        </w:rPr>
        <w:t xml:space="preserve"> 基金会收到捐赠的非货币性资产时，捐赠方应提供非货币性资产公允价值证明，基金会据此向捐赠人出具合法、有效的收据，将受赠非货币性资产及时登记造册。同时，与捐赠方签订《受赠协议书》，明确双方责任义务。对捐赠非货币性资产要妥善保管，做到不遗漏，不丢失。</w:t>
      </w:r>
    </w:p>
    <w:p w14:paraId="46BAAEC9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</w:t>
      </w:r>
      <w:r>
        <w:rPr>
          <w:rFonts w:ascii="仿宋" w:hAnsi="仿宋" w:eastAsia="仿宋"/>
          <w:sz w:val="32"/>
          <w:szCs w:val="32"/>
        </w:rPr>
        <w:t xml:space="preserve">  如非货币性资产需要入库管理，在安排其入库运输时，要与捐赠者当面清点，确认数量，并在物资运达库房后，与库房人员确认物资，做好交接；捐赠者把物资直接运达库房时，库房接收人要当面清点物资数量，做好登记。</w:t>
      </w:r>
    </w:p>
    <w:p w14:paraId="578C407B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</w:t>
      </w:r>
      <w:r>
        <w:rPr>
          <w:rFonts w:ascii="仿宋" w:hAnsi="仿宋" w:eastAsia="仿宋"/>
          <w:sz w:val="32"/>
          <w:szCs w:val="32"/>
        </w:rPr>
        <w:t xml:space="preserve">  资产管理</w:t>
      </w:r>
    </w:p>
    <w:p w14:paraId="59908A43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</w:t>
      </w:r>
      <w:r>
        <w:rPr>
          <w:rFonts w:ascii="仿宋" w:hAnsi="仿宋" w:eastAsia="仿宋"/>
          <w:sz w:val="32"/>
          <w:szCs w:val="32"/>
        </w:rPr>
        <w:t xml:space="preserve"> 各部门根据接受捐赠的非货币性资产于每月25日向办公室报送接受捐赠的非货币性资产清单，办公室根据清单及时登记账簿。</w:t>
      </w:r>
    </w:p>
    <w:p w14:paraId="6E1EA973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</w:t>
      </w:r>
      <w:r>
        <w:rPr>
          <w:rFonts w:ascii="仿宋" w:hAnsi="仿宋" w:eastAsia="仿宋"/>
          <w:sz w:val="32"/>
          <w:szCs w:val="32"/>
        </w:rPr>
        <w:t xml:space="preserve"> 各部门和办公室定期对非货币性资产进行清查对帐，做到帐表相符、帐物相符。基金会每年定期进行非货币性资产盘点，各部门安排人员进行抽盘，并报送盘点和抽盘报告。</w:t>
      </w:r>
    </w:p>
    <w:p w14:paraId="234DB6F5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</w:t>
      </w:r>
      <w:r>
        <w:rPr>
          <w:rFonts w:ascii="仿宋" w:hAnsi="仿宋" w:eastAsia="仿宋"/>
          <w:sz w:val="32"/>
          <w:szCs w:val="32"/>
        </w:rPr>
        <w:t xml:space="preserve">  基金会募集的非货币性资产在发生盘亏、毁损或长期不能实施捐赠情况下，可以报废处理、进行核销。对于报废的资产要严格管理、逐级审批。</w:t>
      </w:r>
    </w:p>
    <w:p w14:paraId="0EEC540A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</w:t>
      </w:r>
      <w:r>
        <w:rPr>
          <w:rFonts w:ascii="仿宋" w:hAnsi="仿宋" w:eastAsia="仿宋"/>
          <w:sz w:val="32"/>
          <w:szCs w:val="32"/>
        </w:rPr>
        <w:t xml:space="preserve">  捐赠管理</w:t>
      </w:r>
    </w:p>
    <w:p w14:paraId="60D04B25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</w:t>
      </w:r>
      <w:r>
        <w:rPr>
          <w:rFonts w:ascii="仿宋" w:hAnsi="仿宋" w:eastAsia="仿宋"/>
          <w:sz w:val="32"/>
          <w:szCs w:val="32"/>
        </w:rPr>
        <w:t xml:space="preserve">  非货币性资产的对外捐赠。由受助单位提出捐赠申请，基金会对受助单位具体情况进行确认核实后方可进行捐助。同时，与受助单位签订《捐赠协议书》，明确双方责任义务。</w:t>
      </w:r>
    </w:p>
    <w:p w14:paraId="00CF42A9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第十一条</w:t>
      </w:r>
      <w:r>
        <w:rPr>
          <w:rFonts w:ascii="仿宋" w:hAnsi="仿宋" w:eastAsia="仿宋"/>
          <w:sz w:val="32"/>
          <w:szCs w:val="32"/>
        </w:rPr>
        <w:t xml:space="preserve">  非货币性资产的出库管理。库房人员要对运输流程严格把关，做到交接数据清晰、过程严格。在捐助的非货币性资产物资到达指定地点后，受助单位或其委托的接收人需在基金会制定的《捐赠确认函》上盖章或签字确认，并及时将此函反馈给基金会以严格捐赠程序。</w:t>
      </w:r>
    </w:p>
    <w:p w14:paraId="729DD6C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第十二条</w:t>
      </w:r>
      <w:r>
        <w:rPr>
          <w:rFonts w:ascii="仿宋" w:hAnsi="仿宋" w:eastAsia="仿宋"/>
          <w:sz w:val="32"/>
          <w:szCs w:val="32"/>
        </w:rPr>
        <w:t xml:space="preserve"> 《捐赠确认函》定期装订成册，交</w:t>
      </w:r>
      <w:r>
        <w:rPr>
          <w:rFonts w:hint="eastAsia" w:ascii="仿宋" w:hAnsi="仿宋" w:eastAsia="仿宋"/>
          <w:sz w:val="32"/>
          <w:szCs w:val="32"/>
        </w:rPr>
        <w:t>秘书处</w:t>
      </w:r>
      <w:r>
        <w:rPr>
          <w:rFonts w:ascii="仿宋" w:hAnsi="仿宋" w:eastAsia="仿宋"/>
          <w:sz w:val="32"/>
          <w:szCs w:val="32"/>
        </w:rPr>
        <w:t>统一保管备查。</w:t>
      </w:r>
    </w:p>
    <w:p w14:paraId="18D37817"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</w:t>
      </w:r>
      <w:r>
        <w:rPr>
          <w:rFonts w:ascii="仿宋" w:hAnsi="仿宋" w:eastAsia="仿宋"/>
          <w:sz w:val="32"/>
          <w:szCs w:val="32"/>
        </w:rPr>
        <w:t xml:space="preserve"> 附则</w:t>
      </w:r>
    </w:p>
    <w:p w14:paraId="53516E0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第十三条</w:t>
      </w:r>
      <w:r>
        <w:rPr>
          <w:rFonts w:ascii="仿宋" w:hAnsi="仿宋" w:eastAsia="仿宋"/>
          <w:sz w:val="32"/>
          <w:szCs w:val="32"/>
        </w:rPr>
        <w:t xml:space="preserve">  本办法由杭州诸商慈善基金会负责解释。</w:t>
      </w:r>
    </w:p>
    <w:p w14:paraId="4AEB82F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第十四条</w:t>
      </w:r>
      <w:r>
        <w:rPr>
          <w:rFonts w:ascii="仿宋" w:hAnsi="仿宋" w:eastAsia="仿宋"/>
          <w:sz w:val="32"/>
          <w:szCs w:val="32"/>
        </w:rPr>
        <w:t xml:space="preserve">  本办法经基金会</w:t>
      </w:r>
      <w:r>
        <w:rPr>
          <w:rFonts w:hint="eastAsia" w:ascii="仿宋" w:hAnsi="仿宋" w:eastAsia="仿宋"/>
          <w:sz w:val="32"/>
          <w:szCs w:val="32"/>
        </w:rPr>
        <w:t>理事</w:t>
      </w:r>
      <w:r>
        <w:rPr>
          <w:rFonts w:ascii="仿宋" w:hAnsi="仿宋" w:eastAsia="仿宋"/>
          <w:sz w:val="32"/>
          <w:szCs w:val="32"/>
        </w:rPr>
        <w:t>会议通过起执行。</w:t>
      </w:r>
    </w:p>
    <w:p w14:paraId="577D163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E23380-208E-4D14-A4E5-411E9326C7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5929FAF-9253-4983-8EBE-8E801017C4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CCC05BB-511D-4D66-A3F7-138393D9701A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1CD2B81"/>
    <w:rsid w:val="025F70CE"/>
    <w:rsid w:val="0286060F"/>
    <w:rsid w:val="029A6A52"/>
    <w:rsid w:val="04D253F8"/>
    <w:rsid w:val="05490839"/>
    <w:rsid w:val="05A141B4"/>
    <w:rsid w:val="0A5527F5"/>
    <w:rsid w:val="0C5F0057"/>
    <w:rsid w:val="0ECD1641"/>
    <w:rsid w:val="123404ED"/>
    <w:rsid w:val="12BD603C"/>
    <w:rsid w:val="160B6B83"/>
    <w:rsid w:val="18B8291A"/>
    <w:rsid w:val="18EB43EE"/>
    <w:rsid w:val="1BCA00E8"/>
    <w:rsid w:val="1BCB06CE"/>
    <w:rsid w:val="1DE63A32"/>
    <w:rsid w:val="204A54EF"/>
    <w:rsid w:val="20FD05AB"/>
    <w:rsid w:val="217557F8"/>
    <w:rsid w:val="2355768F"/>
    <w:rsid w:val="23856A56"/>
    <w:rsid w:val="23D06382"/>
    <w:rsid w:val="27A95684"/>
    <w:rsid w:val="27AC6C95"/>
    <w:rsid w:val="289514A8"/>
    <w:rsid w:val="2C374D1B"/>
    <w:rsid w:val="2DF34EA0"/>
    <w:rsid w:val="2F257BE7"/>
    <w:rsid w:val="34106DFB"/>
    <w:rsid w:val="34974A05"/>
    <w:rsid w:val="365E39F4"/>
    <w:rsid w:val="37502610"/>
    <w:rsid w:val="40A6021E"/>
    <w:rsid w:val="40C357E1"/>
    <w:rsid w:val="436D4129"/>
    <w:rsid w:val="46F624E5"/>
    <w:rsid w:val="48DB1B35"/>
    <w:rsid w:val="49302DA0"/>
    <w:rsid w:val="4C55409A"/>
    <w:rsid w:val="4E6B45BF"/>
    <w:rsid w:val="50FD3224"/>
    <w:rsid w:val="51CC6384"/>
    <w:rsid w:val="52653BBD"/>
    <w:rsid w:val="53A54549"/>
    <w:rsid w:val="57715B3F"/>
    <w:rsid w:val="597C58A9"/>
    <w:rsid w:val="5B246D76"/>
    <w:rsid w:val="5FC609F2"/>
    <w:rsid w:val="611778D9"/>
    <w:rsid w:val="64E24571"/>
    <w:rsid w:val="671C39B6"/>
    <w:rsid w:val="67E817AD"/>
    <w:rsid w:val="68D6620B"/>
    <w:rsid w:val="6BD5497A"/>
    <w:rsid w:val="6BE23A0B"/>
    <w:rsid w:val="6E922B12"/>
    <w:rsid w:val="70FE073F"/>
    <w:rsid w:val="72F262E6"/>
    <w:rsid w:val="73CF3EC1"/>
    <w:rsid w:val="7F5C0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uiPriority w:val="0"/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5426</Words>
  <Characters>5460</Characters>
  <Lines>235</Lines>
  <Paragraphs>66</Paragraphs>
  <TotalTime>20</TotalTime>
  <ScaleCrop>false</ScaleCrop>
  <LinksUpToDate>false</LinksUpToDate>
  <CharactersWithSpaces>5539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2024-07-31T09:05:23Z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2DFB1E79B6E04A9A91200A2C97517C5D_13</vt:lpwstr>
  </property>
</Properties>
</file>